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61D6" w14:textId="07F7FFA9" w:rsidR="00C05E12" w:rsidRDefault="00C05E12" w:rsidP="006F2B9A">
      <w:pPr>
        <w:pStyle w:val="ListParagraph"/>
        <w:ind w:left="0"/>
        <w:jc w:val="both"/>
        <w:rPr>
          <w:b/>
          <w:bCs/>
          <w:noProof/>
          <w:sz w:val="24"/>
          <w:szCs w:val="24"/>
        </w:rPr>
      </w:pPr>
    </w:p>
    <w:p w14:paraId="05CE1171" w14:textId="2D26DD67" w:rsidR="00F2347C" w:rsidRDefault="00551055" w:rsidP="00A756DB">
      <w:pPr>
        <w:pStyle w:val="ListParagraph"/>
        <w:ind w:left="7920"/>
        <w:jc w:val="both"/>
        <w:rPr>
          <w:b/>
          <w:bCs/>
          <w:noProof/>
          <w:sz w:val="24"/>
          <w:szCs w:val="24"/>
        </w:rPr>
      </w:pPr>
      <w:r>
        <w:rPr>
          <w:b/>
          <w:bCs/>
          <w:noProof/>
          <w:sz w:val="24"/>
          <w:szCs w:val="24"/>
        </w:rPr>
        <mc:AlternateContent>
          <mc:Choice Requires="wps">
            <w:drawing>
              <wp:anchor distT="0" distB="0" distL="114300" distR="114300" simplePos="0" relativeHeight="251659264" behindDoc="0" locked="0" layoutInCell="1" allowOverlap="1" wp14:anchorId="1DB3FA69" wp14:editId="7A4F78CB">
                <wp:simplePos x="0" y="0"/>
                <wp:positionH relativeFrom="column">
                  <wp:posOffset>36195</wp:posOffset>
                </wp:positionH>
                <wp:positionV relativeFrom="paragraph">
                  <wp:posOffset>8890</wp:posOffset>
                </wp:positionV>
                <wp:extent cx="4895850" cy="876300"/>
                <wp:effectExtent l="0" t="0" r="0" b="0"/>
                <wp:wrapNone/>
                <wp:docPr id="220810047" name="Text Box 2"/>
                <wp:cNvGraphicFramePr/>
                <a:graphic xmlns:a="http://schemas.openxmlformats.org/drawingml/2006/main">
                  <a:graphicData uri="http://schemas.microsoft.com/office/word/2010/wordprocessingShape">
                    <wps:wsp>
                      <wps:cNvSpPr txBox="1"/>
                      <wps:spPr>
                        <a:xfrm>
                          <a:off x="0" y="0"/>
                          <a:ext cx="4895850" cy="876300"/>
                        </a:xfrm>
                        <a:prstGeom prst="rect">
                          <a:avLst/>
                        </a:prstGeom>
                        <a:gradFill flip="none" rotWithShape="1">
                          <a:gsLst>
                            <a:gs pos="0">
                              <a:srgbClr val="AA2A02"/>
                            </a:gs>
                            <a:gs pos="85310">
                              <a:srgbClr val="F1893B"/>
                            </a:gs>
                            <a:gs pos="74000">
                              <a:srgbClr val="C00000"/>
                            </a:gs>
                            <a:gs pos="100000">
                              <a:schemeClr val="bg1"/>
                            </a:gs>
                          </a:gsLst>
                          <a:lin ang="0" scaled="1"/>
                          <a:tileRect/>
                        </a:gradFill>
                        <a:ln w="6350">
                          <a:noFill/>
                        </a:ln>
                      </wps:spPr>
                      <wps:txbx>
                        <w:txbxContent>
                          <w:p w14:paraId="672FE746" w14:textId="434295F5" w:rsidR="00D759E2" w:rsidRPr="00A756DB" w:rsidRDefault="00551055" w:rsidP="009A23D8">
                            <w:pPr>
                              <w:jc w:val="center"/>
                              <w:rPr>
                                <w:b/>
                                <w:bCs/>
                                <w:color w:val="FFFFFF" w:themeColor="background1"/>
                                <w:sz w:val="28"/>
                                <w:szCs w:val="28"/>
                              </w:rPr>
                            </w:pPr>
                            <w:r w:rsidRPr="00A756DB">
                              <w:rPr>
                                <w:b/>
                                <w:bCs/>
                                <w:color w:val="FFFFFF" w:themeColor="background1"/>
                                <w:sz w:val="28"/>
                                <w:szCs w:val="28"/>
                              </w:rPr>
                              <w:t>PLEASE SEE IMPORTANT INFORMATION REGARDING THE EXPIRATION DATE FOR YOUR PEMGARDA®</w:t>
                            </w:r>
                            <w:r w:rsidR="009A23D8" w:rsidRPr="00A756DB">
                              <w:rPr>
                                <w:b/>
                                <w:bCs/>
                                <w:color w:val="FFFFFF" w:themeColor="background1"/>
                                <w:sz w:val="28"/>
                                <w:szCs w:val="28"/>
                              </w:rPr>
                              <w:t xml:space="preserve"> (PEMIVIBART) PRODUCT ORDER</w:t>
                            </w:r>
                          </w:p>
                        </w:txbxContent>
                      </wps:txbx>
                      <wps:bodyPr rot="0" spcFirstLastPara="0" vertOverflow="overflow" horzOverflow="overflow" vert="horz" wrap="square" lIns="91440" tIns="73152" rIns="64008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3FA69" id="_x0000_t202" coordsize="21600,21600" o:spt="202" path="m,l,21600r21600,l21600,xe">
                <v:stroke joinstyle="miter"/>
                <v:path gradientshapeok="t" o:connecttype="rect"/>
              </v:shapetype>
              <v:shape id="Text Box 2" o:spid="_x0000_s1026" type="#_x0000_t202" style="position:absolute;left:0;text-align:left;margin-left:2.85pt;margin-top:.7pt;width:385.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" fillcolor="#aa2a02" stroked="f" strokeweight=".5pt">
                <v:fill color2="white [3212]" rotate="t" angle="90" colors="0 #aa2a02;48497f #c00000;55909f #f1893b;1 white" focus="100%" type="gradient"/>
                <v:textbox inset=",5.76pt,50.4pt">
                  <w:txbxContent>
                    <w:p w14:paraId="672FE746" w14:textId="434295F5" w:rsidR="00D759E2" w:rsidRPr="00A756DB" w:rsidRDefault="00551055" w:rsidP="009A23D8">
                      <w:pPr>
                        <w:jc w:val="center"/>
                        <w:rPr>
                          <w:b/>
                          <w:bCs/>
                          <w:color w:val="FFFFFF" w:themeColor="background1"/>
                          <w:sz w:val="28"/>
                          <w:szCs w:val="28"/>
                        </w:rPr>
                      </w:pPr>
                      <w:r w:rsidRPr="00A756DB">
                        <w:rPr>
                          <w:b/>
                          <w:bCs/>
                          <w:color w:val="FFFFFF" w:themeColor="background1"/>
                          <w:sz w:val="28"/>
                          <w:szCs w:val="28"/>
                        </w:rPr>
                        <w:t>PLEASE SEE IMPORTANT INFORMATION REGARDING THE EXPIRATION DATE FOR YOUR PEMGARDA®</w:t>
                      </w:r>
                      <w:r w:rsidR="009A23D8" w:rsidRPr="00A756DB">
                        <w:rPr>
                          <w:b/>
                          <w:bCs/>
                          <w:color w:val="FFFFFF" w:themeColor="background1"/>
                          <w:sz w:val="28"/>
                          <w:szCs w:val="28"/>
                        </w:rPr>
                        <w:t xml:space="preserve"> (PEMIVIBART) PRODUCT ORDER</w:t>
                      </w:r>
                    </w:p>
                  </w:txbxContent>
                </v:textbox>
              </v:shape>
            </w:pict>
          </mc:Fallback>
        </mc:AlternateContent>
      </w:r>
      <w:r w:rsidRPr="00B47D1C">
        <w:rPr>
          <w:noProof/>
        </w:rPr>
        <w:drawing>
          <wp:inline distT="0" distB="0" distL="0" distR="0" wp14:anchorId="0C9859B4" wp14:editId="0999139E">
            <wp:extent cx="1826838" cy="819150"/>
            <wp:effectExtent l="0" t="0" r="2540" b="0"/>
            <wp:docPr id="2143536418"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36418" name="Picture 2"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724" cy="834344"/>
                    </a:xfrm>
                    <a:prstGeom prst="rect">
                      <a:avLst/>
                    </a:prstGeom>
                    <a:noFill/>
                    <a:ln>
                      <a:noFill/>
                    </a:ln>
                  </pic:spPr>
                </pic:pic>
              </a:graphicData>
            </a:graphic>
          </wp:inline>
        </w:drawing>
      </w:r>
    </w:p>
    <w:p w14:paraId="15896DB8" w14:textId="77777777" w:rsidR="00F2347C" w:rsidRDefault="00F2347C" w:rsidP="006F2B9A">
      <w:pPr>
        <w:pStyle w:val="ListParagraph"/>
        <w:ind w:left="0"/>
        <w:jc w:val="both"/>
        <w:rPr>
          <w:b/>
          <w:bCs/>
          <w:sz w:val="24"/>
          <w:szCs w:val="24"/>
        </w:rPr>
      </w:pPr>
    </w:p>
    <w:p w14:paraId="5EB7A4CA" w14:textId="764E18D6" w:rsidR="008125F3" w:rsidRDefault="006F2B9A" w:rsidP="000E0ECA">
      <w:pPr>
        <w:pStyle w:val="ListParagraph"/>
        <w:spacing w:after="0"/>
        <w:ind w:left="0"/>
        <w:jc w:val="both"/>
        <w:rPr>
          <w:b/>
          <w:bCs/>
          <w:sz w:val="28"/>
          <w:szCs w:val="28"/>
        </w:rPr>
      </w:pPr>
      <w:r w:rsidRPr="003E095F">
        <w:rPr>
          <w:b/>
          <w:bCs/>
          <w:sz w:val="28"/>
          <w:szCs w:val="28"/>
        </w:rPr>
        <w:t xml:space="preserve">Please note that </w:t>
      </w:r>
      <w:r w:rsidR="00CA3964">
        <w:rPr>
          <w:b/>
          <w:bCs/>
          <w:sz w:val="28"/>
          <w:szCs w:val="28"/>
        </w:rPr>
        <w:t xml:space="preserve">certain Lots of PEMGARDA may have had their </w:t>
      </w:r>
      <w:r w:rsidRPr="003E095F">
        <w:rPr>
          <w:b/>
          <w:bCs/>
          <w:sz w:val="28"/>
          <w:szCs w:val="28"/>
        </w:rPr>
        <w:t>expiration extended beyond the date printed on the carton and vial.</w:t>
      </w:r>
      <w:r w:rsidR="00E84DE1">
        <w:rPr>
          <w:b/>
          <w:bCs/>
          <w:sz w:val="28"/>
          <w:szCs w:val="28"/>
        </w:rPr>
        <w:t xml:space="preserve"> </w:t>
      </w:r>
      <w:r w:rsidR="00306D6A">
        <w:rPr>
          <w:b/>
          <w:bCs/>
          <w:sz w:val="28"/>
          <w:szCs w:val="28"/>
        </w:rPr>
        <w:t>Please check the FDA website for the most recent expiration dates.</w:t>
      </w:r>
    </w:p>
    <w:p w14:paraId="53D2AEE1" w14:textId="0FD213EB" w:rsidR="00AB65D7" w:rsidRPr="00500015" w:rsidRDefault="00AB65D7" w:rsidP="000E0ECA">
      <w:pPr>
        <w:pStyle w:val="ListParagraph"/>
        <w:spacing w:after="0"/>
        <w:ind w:left="0"/>
        <w:jc w:val="both"/>
        <w:rPr>
          <w:b/>
          <w:bCs/>
          <w:sz w:val="12"/>
          <w:szCs w:val="12"/>
        </w:rPr>
      </w:pPr>
    </w:p>
    <w:tbl>
      <w:tblPr>
        <w:tblStyle w:val="TableGrid"/>
        <w:tblW w:w="0" w:type="auto"/>
        <w:tblInd w:w="13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86"/>
        <w:gridCol w:w="5220"/>
      </w:tblGrid>
      <w:tr w:rsidR="000A4EFB" w14:paraId="49C13302" w14:textId="77777777" w:rsidTr="006C2E2B">
        <w:trPr>
          <w:trHeight w:val="1988"/>
        </w:trPr>
        <w:tc>
          <w:tcPr>
            <w:tcW w:w="3786" w:type="dxa"/>
            <w:vAlign w:val="center"/>
          </w:tcPr>
          <w:p w14:paraId="7E35C997" w14:textId="5705375C" w:rsidR="000A4EFB" w:rsidRDefault="000A4EFB" w:rsidP="006C2E2B">
            <w:pPr>
              <w:jc w:val="center"/>
              <w:rPr>
                <w:b/>
                <w:bCs/>
                <w:sz w:val="24"/>
                <w:szCs w:val="24"/>
              </w:rPr>
            </w:pPr>
            <w:r w:rsidRPr="000D6969">
              <w:rPr>
                <w:b/>
                <w:bCs/>
                <w:noProof/>
                <w:sz w:val="24"/>
                <w:szCs w:val="24"/>
              </w:rPr>
              <w:drawing>
                <wp:inline distT="0" distB="0" distL="0" distR="0" wp14:anchorId="2CBF7AC8" wp14:editId="212FD968">
                  <wp:extent cx="2266950" cy="1206342"/>
                  <wp:effectExtent l="0" t="0" r="0" b="0"/>
                  <wp:docPr id="3" name="Content Placeholder 12" descr="A box of medicine on a white surface&#10;&#10;Description automatically generated">
                    <a:extLst xmlns:a="http://schemas.openxmlformats.org/drawingml/2006/main">
                      <a:ext uri="{FF2B5EF4-FFF2-40B4-BE49-F238E27FC236}">
                        <a16:creationId xmlns:a16="http://schemas.microsoft.com/office/drawing/2014/main" id="{BE7194CD-84CD-4CDD-8CD5-885DFE39FC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tent Placeholder 12" descr="A box of medicine on a white surface&#10;&#10;Description automatically generated">
                            <a:extLst>
                              <a:ext uri="{FF2B5EF4-FFF2-40B4-BE49-F238E27FC236}">
                                <a16:creationId xmlns:a16="http://schemas.microsoft.com/office/drawing/2014/main" id="{BE7194CD-84CD-4CDD-8CD5-885DFE39FCE5}"/>
                              </a:ext>
                            </a:extLst>
                          </pic:cNvPr>
                          <pic:cNvPicPr>
                            <a:picLocks noChangeAspect="1"/>
                          </pic:cNvPicPr>
                        </pic:nvPicPr>
                        <pic:blipFill rotWithShape="1">
                          <a:blip r:embed="rId9"/>
                          <a:srcRect l="1208" t="15494" r="1208" b="4005"/>
                          <a:stretch/>
                        </pic:blipFill>
                        <pic:spPr>
                          <a:xfrm>
                            <a:off x="0" y="0"/>
                            <a:ext cx="2283272" cy="1215027"/>
                          </a:xfrm>
                          <a:prstGeom prst="rect">
                            <a:avLst/>
                          </a:prstGeom>
                        </pic:spPr>
                      </pic:pic>
                    </a:graphicData>
                  </a:graphic>
                </wp:inline>
              </w:drawing>
            </w:r>
          </w:p>
        </w:tc>
        <w:tc>
          <w:tcPr>
            <w:tcW w:w="5220" w:type="dxa"/>
          </w:tcPr>
          <w:p w14:paraId="39E0C882" w14:textId="0952CA82" w:rsidR="00223519" w:rsidRPr="00223519" w:rsidRDefault="00223519" w:rsidP="00223519">
            <w:pPr>
              <w:jc w:val="center"/>
              <w:rPr>
                <w:b/>
                <w:bCs/>
                <w:sz w:val="24"/>
                <w:szCs w:val="24"/>
              </w:rPr>
            </w:pPr>
            <w:r w:rsidRPr="00223519">
              <w:rPr>
                <w:b/>
                <w:bCs/>
                <w:noProof/>
                <w:sz w:val="24"/>
                <w:szCs w:val="24"/>
              </w:rPr>
              <w:drawing>
                <wp:inline distT="0" distB="0" distL="0" distR="0" wp14:anchorId="6FDAD9C2" wp14:editId="482F902D">
                  <wp:extent cx="1152525" cy="1152525"/>
                  <wp:effectExtent l="0" t="0" r="9525" b="9525"/>
                  <wp:docPr id="997031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71952D7B" w14:textId="14167796" w:rsidR="000A4EFB" w:rsidRDefault="000A4EFB" w:rsidP="000E0ECA">
            <w:pPr>
              <w:jc w:val="center"/>
              <w:rPr>
                <w:b/>
                <w:bCs/>
                <w:sz w:val="24"/>
                <w:szCs w:val="24"/>
              </w:rPr>
            </w:pPr>
          </w:p>
          <w:p w14:paraId="7083B2CB" w14:textId="045D3390" w:rsidR="000A4EFB" w:rsidRDefault="000A4EFB" w:rsidP="000E0ECA">
            <w:pPr>
              <w:jc w:val="center"/>
              <w:rPr>
                <w:b/>
                <w:bCs/>
                <w:sz w:val="24"/>
                <w:szCs w:val="24"/>
              </w:rPr>
            </w:pPr>
            <w:r>
              <w:rPr>
                <w:b/>
                <w:bCs/>
                <w:sz w:val="24"/>
                <w:szCs w:val="24"/>
              </w:rPr>
              <w:t xml:space="preserve">Scan to </w:t>
            </w:r>
            <w:r w:rsidR="002D5FAA">
              <w:rPr>
                <w:b/>
                <w:bCs/>
                <w:sz w:val="24"/>
                <w:szCs w:val="24"/>
              </w:rPr>
              <w:t xml:space="preserve">see </w:t>
            </w:r>
            <w:r w:rsidR="00082C02">
              <w:rPr>
                <w:b/>
                <w:bCs/>
                <w:sz w:val="24"/>
                <w:szCs w:val="24"/>
              </w:rPr>
              <w:t>the Dear HCP Letter on PEMGARDA Approved Dating</w:t>
            </w:r>
            <w:r w:rsidR="006C2E2B">
              <w:rPr>
                <w:b/>
                <w:bCs/>
                <w:sz w:val="24"/>
                <w:szCs w:val="24"/>
              </w:rPr>
              <w:t xml:space="preserve"> by Lot</w:t>
            </w:r>
          </w:p>
        </w:tc>
      </w:tr>
    </w:tbl>
    <w:p w14:paraId="2C0E4A22" w14:textId="77777777" w:rsidR="005B738B" w:rsidRDefault="005B738B" w:rsidP="005B738B">
      <w:pPr>
        <w:pStyle w:val="ListParagraph"/>
        <w:spacing w:after="0"/>
        <w:ind w:left="450"/>
        <w:rPr>
          <w:sz w:val="24"/>
          <w:szCs w:val="24"/>
        </w:rPr>
      </w:pPr>
    </w:p>
    <w:p w14:paraId="28A49E59" w14:textId="1C774012" w:rsidR="009321B3" w:rsidRDefault="009321B3" w:rsidP="00CB117C">
      <w:pPr>
        <w:pStyle w:val="ListParagraph"/>
        <w:numPr>
          <w:ilvl w:val="0"/>
          <w:numId w:val="3"/>
        </w:numPr>
        <w:spacing w:before="120"/>
        <w:ind w:left="461" w:hanging="274"/>
        <w:rPr>
          <w:sz w:val="24"/>
          <w:szCs w:val="24"/>
        </w:rPr>
      </w:pPr>
      <w:r w:rsidRPr="009321B3">
        <w:rPr>
          <w:sz w:val="24"/>
          <w:szCs w:val="24"/>
        </w:rPr>
        <w:t xml:space="preserve">PEMGARDA has been authorized by FDA for the emergency use described above. It is not FDA-approved for any use, including use for pre-exposure prophylaxis of COVID-19. </w:t>
      </w:r>
    </w:p>
    <w:p w14:paraId="405BC98D" w14:textId="345CF553" w:rsidR="00CB117C" w:rsidRDefault="00CB117C" w:rsidP="00CB117C">
      <w:pPr>
        <w:pStyle w:val="ListParagraph"/>
        <w:spacing w:before="120"/>
        <w:ind w:left="461"/>
        <w:rPr>
          <w:sz w:val="24"/>
          <w:szCs w:val="24"/>
        </w:rPr>
      </w:pPr>
    </w:p>
    <w:p w14:paraId="752EFB7C" w14:textId="618A4E53" w:rsidR="00886885" w:rsidRDefault="00791CC1" w:rsidP="00CB117C">
      <w:pPr>
        <w:pStyle w:val="ListParagraph"/>
        <w:numPr>
          <w:ilvl w:val="0"/>
          <w:numId w:val="3"/>
        </w:numPr>
        <w:spacing w:before="240"/>
        <w:ind w:left="461" w:hanging="274"/>
        <w:rPr>
          <w:sz w:val="24"/>
          <w:szCs w:val="24"/>
        </w:rPr>
      </w:pPr>
      <w:r w:rsidRPr="00791CC1">
        <w:rPr>
          <w:sz w:val="24"/>
          <w:szCs w:val="24"/>
        </w:rPr>
        <w:t>PEMGARDA is authorized only for the duration of the declaration that circumstances exist justifying the authorization of the emergency use of PEMGARDA under Section 564(b)(1) of the FD&amp;C Act, 21 U.S.C. § 360bbb 3(b)(1), unless the authorization is terminated or revoked sooner.</w:t>
      </w:r>
    </w:p>
    <w:p w14:paraId="4B6A2577" w14:textId="77777777" w:rsidR="00CB117C" w:rsidRPr="00573B4B" w:rsidRDefault="00CB117C" w:rsidP="00CB117C">
      <w:pPr>
        <w:pStyle w:val="ListParagraph"/>
        <w:spacing w:before="120"/>
        <w:ind w:left="461"/>
        <w:rPr>
          <w:sz w:val="24"/>
          <w:szCs w:val="24"/>
        </w:rPr>
      </w:pPr>
    </w:p>
    <w:p w14:paraId="5330A2B9" w14:textId="63BAFBF7" w:rsidR="00C708FD" w:rsidRPr="00FB0CF1" w:rsidRDefault="00660C73" w:rsidP="00FB0CF1">
      <w:pPr>
        <w:rPr>
          <w:sz w:val="24"/>
          <w:szCs w:val="24"/>
        </w:rPr>
        <w:sectPr w:rsidR="00C708FD" w:rsidRPr="00FB0CF1" w:rsidSect="007F4CF3">
          <w:footerReference w:type="default" r:id="rId11"/>
          <w:pgSz w:w="12240" w:h="15840"/>
          <w:pgMar w:top="360" w:right="648" w:bottom="648" w:left="648" w:header="720" w:footer="576" w:gutter="0"/>
          <w:pgBorders w:offsetFrom="page">
            <w:top w:val="single" w:sz="36" w:space="24" w:color="AA2A02"/>
            <w:left w:val="single" w:sz="36" w:space="24" w:color="AA2A02"/>
            <w:bottom w:val="single" w:sz="36" w:space="24" w:color="AA2A02"/>
            <w:right w:val="single" w:sz="36" w:space="24" w:color="AA2A02"/>
          </w:pgBorders>
          <w:cols w:space="720"/>
          <w:docGrid w:linePitch="360"/>
        </w:sectPr>
      </w:pPr>
      <w:r>
        <w:rPr>
          <w:sz w:val="24"/>
          <w:szCs w:val="24"/>
        </w:rPr>
        <w:t>The FDA can allow certain medical products to be used beyond their manufacturer-labeled expiration date through</w:t>
      </w:r>
      <w:r w:rsidR="00C93B99">
        <w:rPr>
          <w:sz w:val="24"/>
          <w:szCs w:val="24"/>
        </w:rPr>
        <w:t xml:space="preserve"> </w:t>
      </w:r>
      <w:r w:rsidR="0049321C">
        <w:rPr>
          <w:sz w:val="24"/>
          <w:szCs w:val="24"/>
        </w:rPr>
        <w:t xml:space="preserve">issuing </w:t>
      </w:r>
      <w:r w:rsidR="0054525A">
        <w:rPr>
          <w:sz w:val="24"/>
          <w:szCs w:val="24"/>
        </w:rPr>
        <w:t>an</w:t>
      </w:r>
      <w:r w:rsidR="00C93B99">
        <w:rPr>
          <w:sz w:val="24"/>
          <w:szCs w:val="24"/>
        </w:rPr>
        <w:t xml:space="preserve"> Emergency Use Authorization (EUA) </w:t>
      </w:r>
      <w:r w:rsidR="001C11D8">
        <w:rPr>
          <w:sz w:val="24"/>
          <w:szCs w:val="24"/>
        </w:rPr>
        <w:t xml:space="preserve">granted under section 564 of the FD&amp;C </w:t>
      </w:r>
      <w:r w:rsidR="009D4CFA">
        <w:rPr>
          <w:sz w:val="24"/>
          <w:szCs w:val="24"/>
        </w:rPr>
        <w:t>Act and</w:t>
      </w:r>
      <w:r w:rsidR="00B15788">
        <w:rPr>
          <w:sz w:val="24"/>
          <w:szCs w:val="24"/>
        </w:rPr>
        <w:t xml:space="preserve"> </w:t>
      </w:r>
      <w:r w:rsidR="006F2D96">
        <w:rPr>
          <w:sz w:val="24"/>
          <w:szCs w:val="24"/>
        </w:rPr>
        <w:t xml:space="preserve">provided the FDA has </w:t>
      </w:r>
      <w:r w:rsidR="006F2D96" w:rsidRPr="006F2D96">
        <w:rPr>
          <w:sz w:val="24"/>
          <w:szCs w:val="24"/>
        </w:rPr>
        <w:t>determine</w:t>
      </w:r>
      <w:r w:rsidR="006F2D96">
        <w:rPr>
          <w:sz w:val="24"/>
          <w:szCs w:val="24"/>
        </w:rPr>
        <w:t>d</w:t>
      </w:r>
      <w:r w:rsidR="006F2D96" w:rsidRPr="006F2D96">
        <w:rPr>
          <w:sz w:val="24"/>
          <w:szCs w:val="24"/>
        </w:rPr>
        <w:t xml:space="preserve"> that it is safe to use the product beyond its labeled expiration date</w:t>
      </w:r>
      <w:r w:rsidR="000F5DA8" w:rsidRPr="00B8583F">
        <w:rPr>
          <w:sz w:val="24"/>
          <w:szCs w:val="24"/>
        </w:rPr>
        <w:t xml:space="preserve">. </w:t>
      </w:r>
      <w:r w:rsidR="009D4CFA" w:rsidRPr="009D4CFA">
        <w:rPr>
          <w:sz w:val="24"/>
          <w:szCs w:val="24"/>
          <w:vertAlign w:val="superscript"/>
        </w:rPr>
        <w:t>1</w:t>
      </w:r>
    </w:p>
    <w:tbl>
      <w:tblPr>
        <w:tblStyle w:val="TableGrid"/>
        <w:tblpPr w:leftFromText="180" w:rightFromText="180" w:vertAnchor="text"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5"/>
        <w:gridCol w:w="1525"/>
      </w:tblGrid>
      <w:tr w:rsidR="00562D14" w14:paraId="4A62723F" w14:textId="77777777" w:rsidTr="00271137">
        <w:tc>
          <w:tcPr>
            <w:tcW w:w="9265" w:type="dxa"/>
          </w:tcPr>
          <w:p w14:paraId="3254AFEE" w14:textId="176128F8" w:rsidR="00562D14" w:rsidRDefault="00562D14" w:rsidP="00562D14">
            <w:pPr>
              <w:rPr>
                <w:sz w:val="24"/>
                <w:szCs w:val="24"/>
              </w:rPr>
            </w:pPr>
            <w:r w:rsidRPr="00B8583F">
              <w:rPr>
                <w:sz w:val="24"/>
                <w:szCs w:val="24"/>
              </w:rPr>
              <w:t>The retained product must be appropriately held in accordance with storage conditions detailed in the authorized </w:t>
            </w:r>
            <w:r w:rsidRPr="007E79ED">
              <w:rPr>
                <w:sz w:val="24"/>
                <w:szCs w:val="24"/>
              </w:rPr>
              <w:t>Fact Sheet for Health Care</w:t>
            </w:r>
            <w:r>
              <w:rPr>
                <w:sz w:val="24"/>
                <w:szCs w:val="24"/>
              </w:rPr>
              <w:t xml:space="preserve"> </w:t>
            </w:r>
            <w:r w:rsidRPr="007E79ED">
              <w:rPr>
                <w:sz w:val="24"/>
                <w:szCs w:val="24"/>
              </w:rPr>
              <w:t>Providers</w:t>
            </w:r>
            <w:r>
              <w:rPr>
                <w:sz w:val="24"/>
                <w:szCs w:val="24"/>
              </w:rPr>
              <w:t xml:space="preserve">. </w:t>
            </w:r>
          </w:p>
        </w:tc>
        <w:tc>
          <w:tcPr>
            <w:tcW w:w="1525" w:type="dxa"/>
          </w:tcPr>
          <w:p w14:paraId="75EE19D8" w14:textId="77777777" w:rsidR="00562D14" w:rsidRDefault="00562D14" w:rsidP="00562D14">
            <w:pPr>
              <w:rPr>
                <w:sz w:val="24"/>
                <w:szCs w:val="24"/>
              </w:rPr>
            </w:pPr>
            <w:r>
              <w:rPr>
                <w:noProof/>
              </w:rPr>
              <w:drawing>
                <wp:inline distT="0" distB="0" distL="0" distR="0" wp14:anchorId="3DC5C19D" wp14:editId="1F88523B">
                  <wp:extent cx="552450" cy="552450"/>
                  <wp:effectExtent l="0" t="0" r="0" b="0"/>
                  <wp:docPr id="568526302" name="Picture 1" descr="PEMGARDA Fact Sheet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26302" name="Picture 1" descr="PEMGARDA Fact Sheet QR co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r>
    </w:tbl>
    <w:p w14:paraId="3CF1B536" w14:textId="666279FF" w:rsidR="00F416D9" w:rsidRPr="00F416D9" w:rsidRDefault="00EF1B69" w:rsidP="00F416D9">
      <w:pPr>
        <w:spacing w:after="80"/>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r w:rsidR="00391DAC">
        <w:rPr>
          <w:b/>
          <w:bCs/>
          <w:sz w:val="20"/>
          <w:szCs w:val="20"/>
        </w:rPr>
        <w:t xml:space="preserve">Scan to see </w:t>
      </w:r>
      <w:r>
        <w:rPr>
          <w:b/>
          <w:bCs/>
          <w:sz w:val="20"/>
          <w:szCs w:val="20"/>
        </w:rPr>
        <w:t>Fact Sheet</w:t>
      </w:r>
    </w:p>
    <w:p w14:paraId="0C55F059" w14:textId="16079BD3" w:rsidR="00B67B15" w:rsidRPr="00B67B15" w:rsidRDefault="00B67B15" w:rsidP="00B67B15">
      <w:pPr>
        <w:tabs>
          <w:tab w:val="left" w:pos="630"/>
        </w:tabs>
        <w:rPr>
          <w:b/>
          <w:bCs/>
          <w:sz w:val="24"/>
          <w:szCs w:val="24"/>
        </w:rPr>
      </w:pPr>
      <w:r w:rsidRPr="00B67B15">
        <w:rPr>
          <w:b/>
          <w:bCs/>
          <w:sz w:val="24"/>
          <w:szCs w:val="24"/>
        </w:rPr>
        <w:t xml:space="preserve">INVIVYD RETURN POLICY </w:t>
      </w:r>
    </w:p>
    <w:p w14:paraId="52D02426" w14:textId="7227C49A" w:rsidR="00F416D9" w:rsidRPr="00F33A34" w:rsidRDefault="00B67B15" w:rsidP="00B67B15">
      <w:pPr>
        <w:tabs>
          <w:tab w:val="left" w:pos="630"/>
        </w:tabs>
        <w:rPr>
          <w:sz w:val="24"/>
          <w:szCs w:val="24"/>
        </w:rPr>
      </w:pPr>
      <w:r w:rsidRPr="00F33A34">
        <w:rPr>
          <w:sz w:val="24"/>
          <w:szCs w:val="24"/>
        </w:rPr>
        <w:t xml:space="preserve">Invivyd will only accept expired, unopened product returned during the period commencing upon the product’s expiration date and ending six (6) months after the product’s expiration date as defined as the last day of the month for that Lot as shown in the Approved Extended Expiry Date in the table above. For a full list of terms and conditions and the process for requesting Invivyd product returns, please visit </w:t>
      </w:r>
      <w:r w:rsidR="00F33A34" w:rsidRPr="00C865A4">
        <w:rPr>
          <w:color w:val="134CED"/>
          <w:sz w:val="24"/>
          <w:szCs w:val="24"/>
          <w:u w:val="single"/>
        </w:rPr>
        <w:t>www.invivyd.com/returnspolicy</w:t>
      </w:r>
      <w:r w:rsidR="00F33A34">
        <w:rPr>
          <w:sz w:val="24"/>
          <w:szCs w:val="24"/>
        </w:rPr>
        <w:t>.</w:t>
      </w:r>
      <w:r w:rsidRPr="00F33A34">
        <w:rPr>
          <w:sz w:val="24"/>
          <w:szCs w:val="24"/>
        </w:rPr>
        <w:t xml:space="preserve"> </w:t>
      </w:r>
    </w:p>
    <w:p w14:paraId="784978B1" w14:textId="77777777" w:rsidR="00F33A34" w:rsidRDefault="00F33A34" w:rsidP="00B67B15">
      <w:pPr>
        <w:tabs>
          <w:tab w:val="left" w:pos="630"/>
        </w:tabs>
        <w:rPr>
          <w:b/>
          <w:bCs/>
          <w:sz w:val="24"/>
          <w:szCs w:val="24"/>
        </w:rPr>
      </w:pPr>
    </w:p>
    <w:p w14:paraId="2CA3244A" w14:textId="3F6D6F6B" w:rsidR="00260F0E" w:rsidRPr="00826832" w:rsidRDefault="008C6B71" w:rsidP="00B67B15">
      <w:pPr>
        <w:tabs>
          <w:tab w:val="left" w:pos="630"/>
        </w:tabs>
      </w:pPr>
      <w:r w:rsidRPr="008C6B71">
        <w:rPr>
          <w:vertAlign w:val="superscript"/>
        </w:rPr>
        <w:t>1</w:t>
      </w:r>
      <w:r>
        <w:t xml:space="preserve"> </w:t>
      </w:r>
      <w:r w:rsidRPr="001009D4">
        <w:rPr>
          <w:color w:val="134CED"/>
          <w:sz w:val="18"/>
          <w:szCs w:val="18"/>
          <w:u w:val="single"/>
        </w:rPr>
        <w:t>https://www.fda.gov/emergency-preparedness-and-response/mcm-legal-regulatory-and-policy-framework/expiration-dating-extension#COVIDtherapeutics</w:t>
      </w:r>
      <w:r w:rsidRPr="00AD072B">
        <w:rPr>
          <w:sz w:val="18"/>
          <w:szCs w:val="18"/>
        </w:rPr>
        <w:t>;</w:t>
      </w:r>
      <w:r w:rsidR="001F1E1D" w:rsidRPr="00AD072B">
        <w:rPr>
          <w:sz w:val="18"/>
          <w:szCs w:val="18"/>
        </w:rPr>
        <w:t xml:space="preserve"> accessed </w:t>
      </w:r>
      <w:r w:rsidR="0047451A">
        <w:rPr>
          <w:sz w:val="18"/>
          <w:szCs w:val="18"/>
        </w:rPr>
        <w:t xml:space="preserve">July </w:t>
      </w:r>
      <w:r w:rsidR="00A05D61">
        <w:rPr>
          <w:sz w:val="18"/>
          <w:szCs w:val="18"/>
        </w:rPr>
        <w:t>14</w:t>
      </w:r>
      <w:r w:rsidR="001F1E1D" w:rsidRPr="00AD072B">
        <w:rPr>
          <w:sz w:val="18"/>
          <w:szCs w:val="18"/>
        </w:rPr>
        <w:t>, 202</w:t>
      </w:r>
      <w:r w:rsidR="00422345">
        <w:rPr>
          <w:sz w:val="18"/>
          <w:szCs w:val="18"/>
        </w:rPr>
        <w:t>5</w:t>
      </w:r>
    </w:p>
    <w:sectPr w:rsidR="00260F0E" w:rsidRPr="00826832" w:rsidSect="007F4CF3">
      <w:type w:val="continuous"/>
      <w:pgSz w:w="12240" w:h="15840"/>
      <w:pgMar w:top="360" w:right="720" w:bottom="648" w:left="720" w:header="720" w:footer="720" w:gutter="0"/>
      <w:pgBorders w:offsetFrom="page">
        <w:top w:val="single" w:sz="36" w:space="24" w:color="AA2A02"/>
        <w:left w:val="single" w:sz="36" w:space="24" w:color="AA2A02"/>
        <w:bottom w:val="single" w:sz="36" w:space="24" w:color="AA2A02"/>
        <w:right w:val="single" w:sz="36" w:space="24" w:color="AA2A0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71D0" w14:textId="77777777" w:rsidR="00F5760F" w:rsidRDefault="00F5760F" w:rsidP="003F404E">
      <w:pPr>
        <w:spacing w:after="0" w:line="240" w:lineRule="auto"/>
      </w:pPr>
      <w:r>
        <w:separator/>
      </w:r>
    </w:p>
  </w:endnote>
  <w:endnote w:type="continuationSeparator" w:id="0">
    <w:p w14:paraId="2A37B040" w14:textId="77777777" w:rsidR="00F5760F" w:rsidRDefault="00F5760F" w:rsidP="003F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CAB1" w14:textId="47751604" w:rsidR="0014142E" w:rsidRDefault="0014142E" w:rsidP="0014142E">
    <w:pPr>
      <w:pStyle w:val="Footer"/>
      <w:rPr>
        <w:sz w:val="20"/>
        <w:szCs w:val="20"/>
      </w:rPr>
    </w:pPr>
    <w:r w:rsidRPr="0014142E">
      <w:rPr>
        <w:sz w:val="20"/>
        <w:szCs w:val="20"/>
      </w:rPr>
      <w:t xml:space="preserve">INVIVYD, the INVIVYD logo, and PEMGARDA are registered </w:t>
    </w:r>
    <w:proofErr w:type="gramStart"/>
    <w:r w:rsidRPr="0014142E">
      <w:rPr>
        <w:sz w:val="20"/>
        <w:szCs w:val="20"/>
      </w:rPr>
      <w:t>trademarks</w:t>
    </w:r>
    <w:proofErr w:type="gramEnd"/>
    <w:r w:rsidRPr="0014142E">
      <w:rPr>
        <w:sz w:val="20"/>
        <w:szCs w:val="20"/>
      </w:rPr>
      <w:t xml:space="preserve"> and the Ribbon logo is a trademark of </w:t>
    </w:r>
    <w:r w:rsidR="0087669B" w:rsidRPr="0014142E">
      <w:rPr>
        <w:sz w:val="20"/>
        <w:szCs w:val="20"/>
      </w:rPr>
      <w:t>Invivyd</w:t>
    </w:r>
    <w:r w:rsidRPr="0014142E">
      <w:rPr>
        <w:sz w:val="20"/>
        <w:szCs w:val="20"/>
      </w:rPr>
      <w:t xml:space="preserve">, Inc. </w:t>
    </w:r>
  </w:p>
  <w:p w14:paraId="013EB0A7" w14:textId="05857474" w:rsidR="000B388B" w:rsidRPr="000B388B" w:rsidRDefault="000B388B" w:rsidP="0014142E">
    <w:pPr>
      <w:pStyle w:val="Footer"/>
      <w:rPr>
        <w:sz w:val="20"/>
        <w:szCs w:val="20"/>
      </w:rPr>
    </w:pPr>
    <w:r w:rsidRPr="000B388B">
      <w:rPr>
        <w:sz w:val="20"/>
        <w:szCs w:val="20"/>
      </w:rPr>
      <w:t>© 202</w:t>
    </w:r>
    <w:r w:rsidR="005B738B">
      <w:rPr>
        <w:sz w:val="20"/>
        <w:szCs w:val="20"/>
      </w:rPr>
      <w:t>5</w:t>
    </w:r>
    <w:r w:rsidRPr="000B388B">
      <w:rPr>
        <w:sz w:val="20"/>
        <w:szCs w:val="20"/>
      </w:rPr>
      <w:t xml:space="preserve"> Invivyd, Inc. All rights reserved. </w:t>
    </w:r>
    <w:r w:rsidR="009761ED" w:rsidRPr="009761ED">
      <w:rPr>
        <w:sz w:val="20"/>
        <w:szCs w:val="20"/>
      </w:rPr>
      <w:t>222-NP-B-US-00036</w:t>
    </w:r>
    <w:r w:rsidR="00F2518E">
      <w:rPr>
        <w:sz w:val="20"/>
        <w:szCs w:val="20"/>
      </w:rPr>
      <w:t>-</w:t>
    </w:r>
    <w:r w:rsidR="00204EED">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EA27" w14:textId="77777777" w:rsidR="00F5760F" w:rsidRDefault="00F5760F" w:rsidP="003F404E">
      <w:pPr>
        <w:spacing w:after="0" w:line="240" w:lineRule="auto"/>
      </w:pPr>
      <w:r>
        <w:separator/>
      </w:r>
    </w:p>
  </w:footnote>
  <w:footnote w:type="continuationSeparator" w:id="0">
    <w:p w14:paraId="7557983C" w14:textId="77777777" w:rsidR="00F5760F" w:rsidRDefault="00F5760F" w:rsidP="003F4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1C9"/>
    <w:multiLevelType w:val="hybridMultilevel"/>
    <w:tmpl w:val="533A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74981"/>
    <w:multiLevelType w:val="hybridMultilevel"/>
    <w:tmpl w:val="0D1AD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60E81"/>
    <w:multiLevelType w:val="hybridMultilevel"/>
    <w:tmpl w:val="35D0F602"/>
    <w:lvl w:ilvl="0" w:tplc="FFFFFFFF">
      <w:start w:val="1"/>
      <w:numFmt w:val="bullet"/>
      <w:lvlText w:val=""/>
      <w:lvlJc w:val="left"/>
      <w:pPr>
        <w:ind w:left="720" w:hanging="360"/>
      </w:pPr>
      <w:rPr>
        <w:rFonts w:ascii="Symbol" w:hAnsi="Symbol" w:hint="default"/>
      </w:rPr>
    </w:lvl>
    <w:lvl w:ilvl="1" w:tplc="BBDEAD36">
      <w:start w:val="1"/>
      <w:numFmt w:val="bullet"/>
      <w:lvlText w:val="−"/>
      <w:lvlJc w:val="left"/>
      <w:pPr>
        <w:ind w:left="1440" w:hanging="360"/>
      </w:pPr>
      <w:rPr>
        <w:rFonts w:ascii="Arial Narrow" w:hAnsi="Arial Narro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484235">
    <w:abstractNumId w:val="1"/>
  </w:num>
  <w:num w:numId="2" w16cid:durableId="645166051">
    <w:abstractNumId w:val="2"/>
  </w:num>
  <w:num w:numId="3" w16cid:durableId="61132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B7"/>
    <w:rsid w:val="000074D3"/>
    <w:rsid w:val="000075F4"/>
    <w:rsid w:val="00027835"/>
    <w:rsid w:val="0003688D"/>
    <w:rsid w:val="00057E72"/>
    <w:rsid w:val="0006034E"/>
    <w:rsid w:val="00080B0C"/>
    <w:rsid w:val="00082C02"/>
    <w:rsid w:val="00083CB7"/>
    <w:rsid w:val="000A4EFB"/>
    <w:rsid w:val="000B388B"/>
    <w:rsid w:val="000D6969"/>
    <w:rsid w:val="000E0ECA"/>
    <w:rsid w:val="000E1351"/>
    <w:rsid w:val="000F5DA8"/>
    <w:rsid w:val="001009D4"/>
    <w:rsid w:val="00115CDA"/>
    <w:rsid w:val="0012171E"/>
    <w:rsid w:val="0012595E"/>
    <w:rsid w:val="001277E0"/>
    <w:rsid w:val="0014142E"/>
    <w:rsid w:val="001520C5"/>
    <w:rsid w:val="001964D4"/>
    <w:rsid w:val="00196B53"/>
    <w:rsid w:val="001A3CF6"/>
    <w:rsid w:val="001A50C3"/>
    <w:rsid w:val="001B4FC0"/>
    <w:rsid w:val="001C11D8"/>
    <w:rsid w:val="001D1D44"/>
    <w:rsid w:val="001E0E2A"/>
    <w:rsid w:val="001F1E1D"/>
    <w:rsid w:val="00204EED"/>
    <w:rsid w:val="00211BB0"/>
    <w:rsid w:val="002164E6"/>
    <w:rsid w:val="00223519"/>
    <w:rsid w:val="00227CE9"/>
    <w:rsid w:val="002549A6"/>
    <w:rsid w:val="00260F0E"/>
    <w:rsid w:val="00271137"/>
    <w:rsid w:val="002733F8"/>
    <w:rsid w:val="0027397B"/>
    <w:rsid w:val="002A2DE8"/>
    <w:rsid w:val="002A768E"/>
    <w:rsid w:val="002B7523"/>
    <w:rsid w:val="002D5FAA"/>
    <w:rsid w:val="002F6020"/>
    <w:rsid w:val="00306D6A"/>
    <w:rsid w:val="0031206E"/>
    <w:rsid w:val="003136CA"/>
    <w:rsid w:val="0031409A"/>
    <w:rsid w:val="0032245A"/>
    <w:rsid w:val="00346747"/>
    <w:rsid w:val="003611FF"/>
    <w:rsid w:val="00365E03"/>
    <w:rsid w:val="003757AB"/>
    <w:rsid w:val="00381B98"/>
    <w:rsid w:val="00391DAC"/>
    <w:rsid w:val="00392076"/>
    <w:rsid w:val="003C5873"/>
    <w:rsid w:val="003D02F9"/>
    <w:rsid w:val="003D2594"/>
    <w:rsid w:val="003E0720"/>
    <w:rsid w:val="003E095F"/>
    <w:rsid w:val="003F1161"/>
    <w:rsid w:val="003F164B"/>
    <w:rsid w:val="003F404E"/>
    <w:rsid w:val="00422345"/>
    <w:rsid w:val="004257F3"/>
    <w:rsid w:val="004418F5"/>
    <w:rsid w:val="00443EE9"/>
    <w:rsid w:val="00453BB8"/>
    <w:rsid w:val="00460F28"/>
    <w:rsid w:val="00470CFF"/>
    <w:rsid w:val="0047451A"/>
    <w:rsid w:val="00483E3A"/>
    <w:rsid w:val="0049321C"/>
    <w:rsid w:val="004B7225"/>
    <w:rsid w:val="004E175A"/>
    <w:rsid w:val="004E78BB"/>
    <w:rsid w:val="004F29CA"/>
    <w:rsid w:val="00500015"/>
    <w:rsid w:val="00501D05"/>
    <w:rsid w:val="0054525A"/>
    <w:rsid w:val="00551055"/>
    <w:rsid w:val="00561025"/>
    <w:rsid w:val="00562D14"/>
    <w:rsid w:val="00573B4B"/>
    <w:rsid w:val="00574776"/>
    <w:rsid w:val="00591359"/>
    <w:rsid w:val="005A26D0"/>
    <w:rsid w:val="005B738B"/>
    <w:rsid w:val="00605559"/>
    <w:rsid w:val="00626216"/>
    <w:rsid w:val="006303CD"/>
    <w:rsid w:val="00633C91"/>
    <w:rsid w:val="00635605"/>
    <w:rsid w:val="00660C73"/>
    <w:rsid w:val="006847B7"/>
    <w:rsid w:val="0069003B"/>
    <w:rsid w:val="0069754F"/>
    <w:rsid w:val="006A25C3"/>
    <w:rsid w:val="006C2E2B"/>
    <w:rsid w:val="006F2B9A"/>
    <w:rsid w:val="006F2D96"/>
    <w:rsid w:val="00722F23"/>
    <w:rsid w:val="007478C1"/>
    <w:rsid w:val="00761F37"/>
    <w:rsid w:val="00764807"/>
    <w:rsid w:val="0077099B"/>
    <w:rsid w:val="007756E1"/>
    <w:rsid w:val="00787B56"/>
    <w:rsid w:val="00791CC1"/>
    <w:rsid w:val="007B6AED"/>
    <w:rsid w:val="007C5421"/>
    <w:rsid w:val="007C5EAE"/>
    <w:rsid w:val="007D47E1"/>
    <w:rsid w:val="007E3414"/>
    <w:rsid w:val="007E79ED"/>
    <w:rsid w:val="007F4CF3"/>
    <w:rsid w:val="007F5DE1"/>
    <w:rsid w:val="007F66AD"/>
    <w:rsid w:val="008125F3"/>
    <w:rsid w:val="00824AA4"/>
    <w:rsid w:val="00826832"/>
    <w:rsid w:val="00841500"/>
    <w:rsid w:val="008547B3"/>
    <w:rsid w:val="0087669B"/>
    <w:rsid w:val="00886885"/>
    <w:rsid w:val="00892D55"/>
    <w:rsid w:val="00897FF2"/>
    <w:rsid w:val="008A01DD"/>
    <w:rsid w:val="008A3A29"/>
    <w:rsid w:val="008B4E93"/>
    <w:rsid w:val="008C02B2"/>
    <w:rsid w:val="008C1B1B"/>
    <w:rsid w:val="008C6B71"/>
    <w:rsid w:val="008F2410"/>
    <w:rsid w:val="009321B3"/>
    <w:rsid w:val="009435E3"/>
    <w:rsid w:val="009761ED"/>
    <w:rsid w:val="009947C4"/>
    <w:rsid w:val="00996CC3"/>
    <w:rsid w:val="009A23D8"/>
    <w:rsid w:val="009A7707"/>
    <w:rsid w:val="009B354A"/>
    <w:rsid w:val="009B44FD"/>
    <w:rsid w:val="009B5F1F"/>
    <w:rsid w:val="009C040B"/>
    <w:rsid w:val="009D4CFA"/>
    <w:rsid w:val="009F3E45"/>
    <w:rsid w:val="00A05D61"/>
    <w:rsid w:val="00A108AB"/>
    <w:rsid w:val="00A32AE3"/>
    <w:rsid w:val="00A47CB1"/>
    <w:rsid w:val="00A50D96"/>
    <w:rsid w:val="00A756DB"/>
    <w:rsid w:val="00A80CFC"/>
    <w:rsid w:val="00A83DD1"/>
    <w:rsid w:val="00AA3D86"/>
    <w:rsid w:val="00AB65D7"/>
    <w:rsid w:val="00AD072B"/>
    <w:rsid w:val="00B150A4"/>
    <w:rsid w:val="00B15788"/>
    <w:rsid w:val="00B23418"/>
    <w:rsid w:val="00B243DF"/>
    <w:rsid w:val="00B314F7"/>
    <w:rsid w:val="00B3403D"/>
    <w:rsid w:val="00B56D24"/>
    <w:rsid w:val="00B65FA0"/>
    <w:rsid w:val="00B67B15"/>
    <w:rsid w:val="00B8583F"/>
    <w:rsid w:val="00B96A64"/>
    <w:rsid w:val="00BA0BED"/>
    <w:rsid w:val="00BA4B2B"/>
    <w:rsid w:val="00BF0A69"/>
    <w:rsid w:val="00BF700E"/>
    <w:rsid w:val="00C05E12"/>
    <w:rsid w:val="00C06A33"/>
    <w:rsid w:val="00C17BCF"/>
    <w:rsid w:val="00C260A0"/>
    <w:rsid w:val="00C27AB2"/>
    <w:rsid w:val="00C3792C"/>
    <w:rsid w:val="00C43302"/>
    <w:rsid w:val="00C5021F"/>
    <w:rsid w:val="00C64B9E"/>
    <w:rsid w:val="00C708FD"/>
    <w:rsid w:val="00C865A4"/>
    <w:rsid w:val="00C9330A"/>
    <w:rsid w:val="00C93B99"/>
    <w:rsid w:val="00CA2BB2"/>
    <w:rsid w:val="00CA3964"/>
    <w:rsid w:val="00CB117C"/>
    <w:rsid w:val="00CB789A"/>
    <w:rsid w:val="00CD53C1"/>
    <w:rsid w:val="00CE6CCD"/>
    <w:rsid w:val="00D0523F"/>
    <w:rsid w:val="00D137F8"/>
    <w:rsid w:val="00D43732"/>
    <w:rsid w:val="00D740F5"/>
    <w:rsid w:val="00D759E2"/>
    <w:rsid w:val="00E029A6"/>
    <w:rsid w:val="00E10907"/>
    <w:rsid w:val="00E20EC2"/>
    <w:rsid w:val="00E30BF0"/>
    <w:rsid w:val="00E649C5"/>
    <w:rsid w:val="00E64A7C"/>
    <w:rsid w:val="00E77FAD"/>
    <w:rsid w:val="00E8355C"/>
    <w:rsid w:val="00E84DE1"/>
    <w:rsid w:val="00E919C4"/>
    <w:rsid w:val="00E96ADE"/>
    <w:rsid w:val="00EF0412"/>
    <w:rsid w:val="00EF1B69"/>
    <w:rsid w:val="00F2347C"/>
    <w:rsid w:val="00F2518E"/>
    <w:rsid w:val="00F2599D"/>
    <w:rsid w:val="00F33A34"/>
    <w:rsid w:val="00F34070"/>
    <w:rsid w:val="00F35B21"/>
    <w:rsid w:val="00F416D9"/>
    <w:rsid w:val="00F422DD"/>
    <w:rsid w:val="00F55190"/>
    <w:rsid w:val="00F5760F"/>
    <w:rsid w:val="00F61396"/>
    <w:rsid w:val="00F75A4B"/>
    <w:rsid w:val="00F77284"/>
    <w:rsid w:val="00F8715E"/>
    <w:rsid w:val="00FB0CF1"/>
    <w:rsid w:val="00FB1916"/>
    <w:rsid w:val="00FB2270"/>
    <w:rsid w:val="00FC42A6"/>
    <w:rsid w:val="00FC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F1798"/>
  <w15:chartTrackingRefBased/>
  <w15:docId w15:val="{F966769C-AAF2-4E81-86FB-3B6758CE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CB7"/>
    <w:rPr>
      <w:rFonts w:eastAsiaTheme="majorEastAsia" w:cstheme="majorBidi"/>
      <w:color w:val="272727" w:themeColor="text1" w:themeTint="D8"/>
    </w:rPr>
  </w:style>
  <w:style w:type="paragraph" w:styleId="Title">
    <w:name w:val="Title"/>
    <w:basedOn w:val="Normal"/>
    <w:next w:val="Normal"/>
    <w:link w:val="TitleChar"/>
    <w:uiPriority w:val="10"/>
    <w:qFormat/>
    <w:rsid w:val="00083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CB7"/>
    <w:pPr>
      <w:spacing w:before="160"/>
      <w:jc w:val="center"/>
    </w:pPr>
    <w:rPr>
      <w:i/>
      <w:iCs/>
      <w:color w:val="404040" w:themeColor="text1" w:themeTint="BF"/>
    </w:rPr>
  </w:style>
  <w:style w:type="character" w:customStyle="1" w:styleId="QuoteChar">
    <w:name w:val="Quote Char"/>
    <w:basedOn w:val="DefaultParagraphFont"/>
    <w:link w:val="Quote"/>
    <w:uiPriority w:val="29"/>
    <w:rsid w:val="00083CB7"/>
    <w:rPr>
      <w:i/>
      <w:iCs/>
      <w:color w:val="404040" w:themeColor="text1" w:themeTint="BF"/>
    </w:rPr>
  </w:style>
  <w:style w:type="paragraph" w:styleId="ListParagraph">
    <w:name w:val="List Paragraph"/>
    <w:basedOn w:val="Normal"/>
    <w:uiPriority w:val="34"/>
    <w:qFormat/>
    <w:rsid w:val="00083CB7"/>
    <w:pPr>
      <w:ind w:left="720"/>
      <w:contextualSpacing/>
    </w:pPr>
  </w:style>
  <w:style w:type="character" w:styleId="IntenseEmphasis">
    <w:name w:val="Intense Emphasis"/>
    <w:basedOn w:val="DefaultParagraphFont"/>
    <w:uiPriority w:val="21"/>
    <w:qFormat/>
    <w:rsid w:val="00083CB7"/>
    <w:rPr>
      <w:i/>
      <w:iCs/>
      <w:color w:val="0F4761" w:themeColor="accent1" w:themeShade="BF"/>
    </w:rPr>
  </w:style>
  <w:style w:type="paragraph" w:styleId="IntenseQuote">
    <w:name w:val="Intense Quote"/>
    <w:basedOn w:val="Normal"/>
    <w:next w:val="Normal"/>
    <w:link w:val="IntenseQuoteChar"/>
    <w:uiPriority w:val="30"/>
    <w:qFormat/>
    <w:rsid w:val="00083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CB7"/>
    <w:rPr>
      <w:i/>
      <w:iCs/>
      <w:color w:val="0F4761" w:themeColor="accent1" w:themeShade="BF"/>
    </w:rPr>
  </w:style>
  <w:style w:type="character" w:styleId="IntenseReference">
    <w:name w:val="Intense Reference"/>
    <w:basedOn w:val="DefaultParagraphFont"/>
    <w:uiPriority w:val="32"/>
    <w:qFormat/>
    <w:rsid w:val="00083CB7"/>
    <w:rPr>
      <w:b/>
      <w:bCs/>
      <w:smallCaps/>
      <w:color w:val="0F4761" w:themeColor="accent1" w:themeShade="BF"/>
      <w:spacing w:val="5"/>
    </w:rPr>
  </w:style>
  <w:style w:type="character" w:styleId="Hyperlink">
    <w:name w:val="Hyperlink"/>
    <w:uiPriority w:val="99"/>
    <w:rsid w:val="00083CB7"/>
    <w:rPr>
      <w:color w:val="0000FF"/>
      <w:u w:val="single"/>
    </w:rPr>
  </w:style>
  <w:style w:type="table" w:styleId="TableGrid">
    <w:name w:val="Table Grid"/>
    <w:basedOn w:val="TableNormal"/>
    <w:uiPriority w:val="39"/>
    <w:rsid w:val="00083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330A"/>
    <w:rPr>
      <w:color w:val="605E5C"/>
      <w:shd w:val="clear" w:color="auto" w:fill="E1DFDD"/>
    </w:rPr>
  </w:style>
  <w:style w:type="character" w:styleId="FollowedHyperlink">
    <w:name w:val="FollowedHyperlink"/>
    <w:basedOn w:val="DefaultParagraphFont"/>
    <w:uiPriority w:val="99"/>
    <w:semiHidden/>
    <w:unhideWhenUsed/>
    <w:rsid w:val="00B8583F"/>
    <w:rPr>
      <w:color w:val="96607D" w:themeColor="followedHyperlink"/>
      <w:u w:val="single"/>
    </w:rPr>
  </w:style>
  <w:style w:type="paragraph" w:styleId="Header">
    <w:name w:val="header"/>
    <w:basedOn w:val="Normal"/>
    <w:link w:val="HeaderChar"/>
    <w:uiPriority w:val="99"/>
    <w:unhideWhenUsed/>
    <w:rsid w:val="003F4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04E"/>
  </w:style>
  <w:style w:type="paragraph" w:styleId="Footer">
    <w:name w:val="footer"/>
    <w:basedOn w:val="Normal"/>
    <w:link w:val="FooterChar"/>
    <w:uiPriority w:val="99"/>
    <w:unhideWhenUsed/>
    <w:rsid w:val="003F4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04E"/>
  </w:style>
  <w:style w:type="character" w:styleId="CommentReference">
    <w:name w:val="annotation reference"/>
    <w:basedOn w:val="DefaultParagraphFont"/>
    <w:uiPriority w:val="99"/>
    <w:semiHidden/>
    <w:unhideWhenUsed/>
    <w:rsid w:val="008547B3"/>
    <w:rPr>
      <w:sz w:val="16"/>
      <w:szCs w:val="16"/>
    </w:rPr>
  </w:style>
  <w:style w:type="paragraph" w:styleId="CommentText">
    <w:name w:val="annotation text"/>
    <w:basedOn w:val="Normal"/>
    <w:link w:val="CommentTextChar"/>
    <w:uiPriority w:val="99"/>
    <w:unhideWhenUsed/>
    <w:rsid w:val="008547B3"/>
    <w:pPr>
      <w:spacing w:line="240" w:lineRule="auto"/>
    </w:pPr>
    <w:rPr>
      <w:sz w:val="20"/>
      <w:szCs w:val="20"/>
    </w:rPr>
  </w:style>
  <w:style w:type="character" w:customStyle="1" w:styleId="CommentTextChar">
    <w:name w:val="Comment Text Char"/>
    <w:basedOn w:val="DefaultParagraphFont"/>
    <w:link w:val="CommentText"/>
    <w:uiPriority w:val="99"/>
    <w:rsid w:val="008547B3"/>
    <w:rPr>
      <w:sz w:val="20"/>
      <w:szCs w:val="20"/>
    </w:rPr>
  </w:style>
  <w:style w:type="paragraph" w:styleId="CommentSubject">
    <w:name w:val="annotation subject"/>
    <w:basedOn w:val="CommentText"/>
    <w:next w:val="CommentText"/>
    <w:link w:val="CommentSubjectChar"/>
    <w:uiPriority w:val="99"/>
    <w:semiHidden/>
    <w:unhideWhenUsed/>
    <w:rsid w:val="008547B3"/>
    <w:rPr>
      <w:b/>
      <w:bCs/>
    </w:rPr>
  </w:style>
  <w:style w:type="character" w:customStyle="1" w:styleId="CommentSubjectChar">
    <w:name w:val="Comment Subject Char"/>
    <w:basedOn w:val="CommentTextChar"/>
    <w:link w:val="CommentSubject"/>
    <w:uiPriority w:val="99"/>
    <w:semiHidden/>
    <w:rsid w:val="008547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9310">
      <w:bodyDiv w:val="1"/>
      <w:marLeft w:val="0"/>
      <w:marRight w:val="0"/>
      <w:marTop w:val="0"/>
      <w:marBottom w:val="0"/>
      <w:divBdr>
        <w:top w:val="none" w:sz="0" w:space="0" w:color="auto"/>
        <w:left w:val="none" w:sz="0" w:space="0" w:color="auto"/>
        <w:bottom w:val="none" w:sz="0" w:space="0" w:color="auto"/>
        <w:right w:val="none" w:sz="0" w:space="0" w:color="auto"/>
      </w:divBdr>
    </w:div>
    <w:div w:id="171145026">
      <w:bodyDiv w:val="1"/>
      <w:marLeft w:val="0"/>
      <w:marRight w:val="0"/>
      <w:marTop w:val="0"/>
      <w:marBottom w:val="0"/>
      <w:divBdr>
        <w:top w:val="none" w:sz="0" w:space="0" w:color="auto"/>
        <w:left w:val="none" w:sz="0" w:space="0" w:color="auto"/>
        <w:bottom w:val="none" w:sz="0" w:space="0" w:color="auto"/>
        <w:right w:val="none" w:sz="0" w:space="0" w:color="auto"/>
      </w:divBdr>
    </w:div>
    <w:div w:id="585959595">
      <w:bodyDiv w:val="1"/>
      <w:marLeft w:val="0"/>
      <w:marRight w:val="0"/>
      <w:marTop w:val="0"/>
      <w:marBottom w:val="0"/>
      <w:divBdr>
        <w:top w:val="none" w:sz="0" w:space="0" w:color="auto"/>
        <w:left w:val="none" w:sz="0" w:space="0" w:color="auto"/>
        <w:bottom w:val="none" w:sz="0" w:space="0" w:color="auto"/>
        <w:right w:val="none" w:sz="0" w:space="0" w:color="auto"/>
      </w:divBdr>
    </w:div>
    <w:div w:id="646781485">
      <w:bodyDiv w:val="1"/>
      <w:marLeft w:val="0"/>
      <w:marRight w:val="0"/>
      <w:marTop w:val="0"/>
      <w:marBottom w:val="0"/>
      <w:divBdr>
        <w:top w:val="none" w:sz="0" w:space="0" w:color="auto"/>
        <w:left w:val="none" w:sz="0" w:space="0" w:color="auto"/>
        <w:bottom w:val="none" w:sz="0" w:space="0" w:color="auto"/>
        <w:right w:val="none" w:sz="0" w:space="0" w:color="auto"/>
      </w:divBdr>
    </w:div>
    <w:div w:id="656228154">
      <w:bodyDiv w:val="1"/>
      <w:marLeft w:val="0"/>
      <w:marRight w:val="0"/>
      <w:marTop w:val="0"/>
      <w:marBottom w:val="0"/>
      <w:divBdr>
        <w:top w:val="none" w:sz="0" w:space="0" w:color="auto"/>
        <w:left w:val="none" w:sz="0" w:space="0" w:color="auto"/>
        <w:bottom w:val="none" w:sz="0" w:space="0" w:color="auto"/>
        <w:right w:val="none" w:sz="0" w:space="0" w:color="auto"/>
      </w:divBdr>
    </w:div>
    <w:div w:id="1198272897">
      <w:bodyDiv w:val="1"/>
      <w:marLeft w:val="0"/>
      <w:marRight w:val="0"/>
      <w:marTop w:val="0"/>
      <w:marBottom w:val="0"/>
      <w:divBdr>
        <w:top w:val="none" w:sz="0" w:space="0" w:color="auto"/>
        <w:left w:val="none" w:sz="0" w:space="0" w:color="auto"/>
        <w:bottom w:val="none" w:sz="0" w:space="0" w:color="auto"/>
        <w:right w:val="none" w:sz="0" w:space="0" w:color="auto"/>
      </w:divBdr>
    </w:div>
    <w:div w:id="143382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420E6-2DA8-4492-8942-2AF7F640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Lutz</dc:creator>
  <cp:keywords/>
  <dc:description/>
  <cp:lastModifiedBy>Alexa Hunt</cp:lastModifiedBy>
  <cp:revision>12</cp:revision>
  <cp:lastPrinted>2025-07-15T20:11:00Z</cp:lastPrinted>
  <dcterms:created xsi:type="dcterms:W3CDTF">2025-07-21T19:12:00Z</dcterms:created>
  <dcterms:modified xsi:type="dcterms:W3CDTF">2025-09-17T15:10:00Z</dcterms:modified>
</cp:coreProperties>
</file>